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Century Gothic" w:hAnsi="Century Gothic"/>
          <w:b/>
          <w:b/>
        </w:rPr>
      </w:pPr>
      <w:r>
        <w:rPr/>
        <w:drawing>
          <wp:inline distT="0" distB="0" distL="0" distR="0">
            <wp:extent cx="3484880" cy="857250"/>
            <wp:effectExtent l="0" t="0" r="0" b="0"/>
            <wp:docPr id="1" name="Imagen 189716634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897166344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0" t="9697" r="0" b="108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488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rFonts w:ascii="Century Gothic" w:hAnsi="Century Gothic"/>
          <w:b/>
          <w:b/>
          <w:sz w:val="10"/>
        </w:rPr>
      </w:pPr>
      <w:r>
        <w:rPr>
          <w:rFonts w:ascii="Century Gothic" w:hAnsi="Century Gothic"/>
          <w:b/>
          <w:sz w:val="10"/>
        </w:rPr>
      </w:r>
    </w:p>
    <w:p>
      <w:pPr>
        <w:pStyle w:val="Normal"/>
        <w:jc w:val="center"/>
        <w:rPr>
          <w:rFonts w:ascii="Century Gothic" w:hAnsi="Century Gothic"/>
          <w:b/>
          <w:b/>
        </w:rPr>
      </w:pPr>
      <w:r>
        <w:rPr>
          <w:rFonts w:ascii="Century Gothic" w:hAnsi="Century Gothic"/>
          <w:b/>
        </w:rPr>
      </w:r>
    </w:p>
    <w:p>
      <w:pPr>
        <w:pStyle w:val="Normal"/>
        <w:jc w:val="center"/>
        <w:rPr>
          <w:rFonts w:ascii="Century Gothic" w:hAnsi="Century Gothic"/>
          <w:b/>
          <w:b/>
        </w:rPr>
      </w:pPr>
      <w:r>
        <w:rPr>
          <w:rFonts w:ascii="Century Gothic" w:hAnsi="Century Gothic"/>
          <w:b/>
        </w:rPr>
        <w:t>ENTIDAD EJECUTORA DE CONVERSIÓN A GAS NATURAL VEHICULAR “EEC-GNV”</w:t>
      </w:r>
    </w:p>
    <w:p>
      <w:pPr>
        <w:pStyle w:val="Normal"/>
        <w:jc w:val="center"/>
        <w:rPr>
          <w:rFonts w:ascii="Century Gothic" w:hAnsi="Century Gothic"/>
          <w:b/>
          <w:b/>
        </w:rPr>
      </w:pPr>
      <w:r>
        <w:rPr>
          <w:rFonts w:ascii="Century Gothic" w:hAnsi="Century Gothic"/>
          <w:b/>
        </w:rPr>
        <mc:AlternateContent>
          <mc:Choice Requires="wps">
            <w:drawing>
              <wp:anchor behindDoc="0" distT="0" distB="19050" distL="0" distR="25400" simplePos="0" locked="0" layoutInCell="0" allowOverlap="1" relativeHeight="3" wp14:anchorId="07CF09C2">
                <wp:simplePos x="0" y="0"/>
                <wp:positionH relativeFrom="column">
                  <wp:posOffset>37465</wp:posOffset>
                </wp:positionH>
                <wp:positionV relativeFrom="paragraph">
                  <wp:posOffset>60325</wp:posOffset>
                </wp:positionV>
                <wp:extent cx="6547485" cy="0"/>
                <wp:effectExtent l="5080" t="5080" r="5080" b="5080"/>
                <wp:wrapNone/>
                <wp:docPr id="2" name="1 Conector recto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4732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4a7ebb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.95pt,4.75pt" to="518.45pt,4.75pt" ID="1 Conector recto" stroked="t" o:allowincell="f" style="position:absolute" wp14:anchorId="07CF09C2">
                <v:stroke color="#4a7ebb" weight="9360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jc w:val="center"/>
        <w:rPr>
          <w:rFonts w:ascii="Century Gothic" w:hAnsi="Century Gothic"/>
          <w:b/>
          <w:b/>
        </w:rPr>
      </w:pPr>
      <w:r>
        <w:rPr>
          <w:rFonts w:ascii="Century Gothic" w:hAnsi="Century Gothic"/>
          <w:b/>
        </w:rPr>
        <w:t xml:space="preserve">INVITACIÓN PÚBLICA A EMPRESAS NACIONALES </w:t>
      </w:r>
    </w:p>
    <w:p>
      <w:pPr>
        <w:pStyle w:val="Normal"/>
        <w:jc w:val="center"/>
        <w:rPr>
          <w:rFonts w:ascii="Century Gothic" w:hAnsi="Century Gothic"/>
          <w:b/>
          <w:b/>
        </w:rPr>
      </w:pPr>
      <w:r>
        <w:rPr>
          <w:rFonts w:ascii="Century Gothic" w:hAnsi="Century Gothic"/>
          <w:b/>
        </w:rPr>
        <w:t xml:space="preserve">PARA PRESENTACIÓN DE </w:t>
      </w:r>
      <w:bookmarkStart w:id="0" w:name="_Hlk190435873"/>
      <w:r>
        <w:rPr>
          <w:rFonts w:ascii="Century Gothic" w:hAnsi="Century Gothic"/>
          <w:b/>
        </w:rPr>
        <w:t xml:space="preserve">PROPUESTAS </w:t>
      </w:r>
    </w:p>
    <w:p>
      <w:pPr>
        <w:pStyle w:val="Normal"/>
        <w:jc w:val="center"/>
        <w:rPr>
          <w:rFonts w:ascii="Century Gothic" w:hAnsi="Century Gothic"/>
          <w:b/>
          <w:b/>
        </w:rPr>
      </w:pPr>
      <w:r>
        <w:rPr>
          <w:rFonts w:ascii="Century Gothic" w:hAnsi="Century Gothic"/>
          <w:b/>
        </w:rPr>
        <w:t>GESTIÓN 2026</w:t>
      </w:r>
    </w:p>
    <w:p>
      <w:pPr>
        <w:pStyle w:val="Normal"/>
        <w:jc w:val="center"/>
        <w:rPr>
          <w:rFonts w:ascii="Century Gothic" w:hAnsi="Century Gothic"/>
          <w:b/>
          <w:b/>
          <w:lang w:val="es-BO"/>
        </w:rPr>
      </w:pPr>
      <w:bookmarkStart w:id="1" w:name="_Hlk190338424"/>
      <w:r>
        <w:rPr>
          <w:rFonts w:ascii="Century Gothic" w:hAnsi="Century Gothic"/>
          <w:b/>
          <w:lang w:val="es-BO"/>
        </w:rPr>
        <w:t>EEC-GNV-CDBE-Nº 001/2026</w:t>
      </w:r>
      <w:bookmarkEnd w:id="0"/>
      <w:bookmarkEnd w:id="1"/>
    </w:p>
    <w:p>
      <w:pPr>
        <w:pStyle w:val="Normal"/>
        <w:jc w:val="both"/>
        <w:rPr>
          <w:rFonts w:ascii="Century Gothic" w:hAnsi="Century Gothic"/>
          <w:b/>
          <w:b/>
          <w:sz w:val="16"/>
          <w:lang w:val="es-BO"/>
        </w:rPr>
      </w:pPr>
      <w:r>
        <w:rPr>
          <w:rFonts w:ascii="Century Gothic" w:hAnsi="Century Gothic"/>
          <w:b/>
          <w:sz w:val="16"/>
          <w:lang w:val="es-BO"/>
        </w:rPr>
      </w:r>
    </w:p>
    <w:p>
      <w:pPr>
        <w:pStyle w:val="Normal"/>
        <w:ind w:left="360" w:hanging="0"/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La Entidad Ejecutora de Conversión a Gas Natural Vehicular creada mediante </w:t>
      </w:r>
      <w:r>
        <w:rPr>
          <w:rFonts w:cs="Arial" w:ascii="Century Gothic" w:hAnsi="Century Gothic"/>
          <w:sz w:val="18"/>
          <w:szCs w:val="18"/>
        </w:rPr>
        <w:t>Decreto Supremo N° 0675 de 20 de octubre de 2010,</w:t>
      </w:r>
      <w:r>
        <w:rPr>
          <w:rFonts w:ascii="Century Gothic" w:hAnsi="Century Gothic"/>
          <w:sz w:val="18"/>
          <w:szCs w:val="18"/>
        </w:rPr>
        <w:t xml:space="preserve"> en el marco de la normativa que rige su funcionamiento, invita públicamente a empresas nacionales legalmente establecidas en Bolivia a presentar sus propuestas.</w:t>
      </w:r>
    </w:p>
    <w:p>
      <w:pPr>
        <w:pStyle w:val="Normal"/>
        <w:ind w:left="360" w:hanging="0"/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 </w:t>
      </w:r>
    </w:p>
    <w:p>
      <w:pPr>
        <w:pStyle w:val="ListParagraph"/>
        <w:numPr>
          <w:ilvl w:val="0"/>
          <w:numId w:val="1"/>
        </w:numPr>
        <w:jc w:val="both"/>
        <w:rPr>
          <w:rFonts w:ascii="Century Gothic" w:hAnsi="Century Gothic"/>
          <w:sz w:val="18"/>
          <w:szCs w:val="18"/>
          <w:lang w:val="es-MX"/>
        </w:rPr>
      </w:pPr>
      <w:r>
        <w:rPr>
          <w:rFonts w:ascii="Century Gothic" w:hAnsi="Century Gothic"/>
          <w:b/>
          <w:sz w:val="18"/>
          <w:szCs w:val="18"/>
          <w:lang w:val="es-ES_tradnl"/>
        </w:rPr>
        <w:t xml:space="preserve">OBJETIVO: </w:t>
      </w:r>
      <w:r>
        <w:rPr>
          <w:rFonts w:ascii="Century Gothic" w:hAnsi="Century Gothic"/>
          <w:sz w:val="18"/>
          <w:szCs w:val="18"/>
          <w:lang w:val="es-MX"/>
        </w:rPr>
        <w:t>En  atención,  al Título III CONTRATACIÓN DIRECTA DE BIENES Y SERVICIOS ESPECIALIZADOS DE TALLERES, Capitulo IV Modalidades de Contratación, Artículo 30 del Reglamento Específico para la Contratación Directa de Bienes y Servicios de Talleres Especializados para los Programas de Conversión a GNV, Mantenimiento de Equipos para GNV y de Recalificación y Reposición de Cilindros para GNV", aprobado mediante Resolución Ministerial N° 092-2026 de 5 de mayo de 2026, se debe realizar la adquisición de Kits y Cilindros para GNV, bajo la modalidad de comparación de propuestas.</w:t>
      </w:r>
    </w:p>
    <w:p>
      <w:pPr>
        <w:pStyle w:val="Normal"/>
        <w:ind w:left="720" w:hanging="0"/>
        <w:jc w:val="both"/>
        <w:rPr>
          <w:rFonts w:ascii="Century Gothic" w:hAnsi="Century Gothic"/>
          <w:sz w:val="18"/>
          <w:szCs w:val="18"/>
          <w:lang w:val="es-ES_tradnl"/>
        </w:rPr>
      </w:pPr>
      <w:r>
        <w:rPr>
          <w:rFonts w:ascii="Century Gothic" w:hAnsi="Century Gothic"/>
          <w:sz w:val="18"/>
          <w:szCs w:val="18"/>
          <w:lang w:val="es-ES_tradnl"/>
        </w:rPr>
      </w:r>
    </w:p>
    <w:p>
      <w:pPr>
        <w:pStyle w:val="Normal"/>
        <w:numPr>
          <w:ilvl w:val="0"/>
          <w:numId w:val="1"/>
        </w:numPr>
        <w:jc w:val="both"/>
        <w:rPr>
          <w:rFonts w:ascii="Century Gothic" w:hAnsi="Century Gothic"/>
          <w:b/>
          <w:b/>
          <w:sz w:val="18"/>
          <w:szCs w:val="18"/>
          <w:lang w:val="es-ES_tradnl"/>
        </w:rPr>
      </w:pPr>
      <w:r>
        <w:rPr>
          <w:rFonts w:ascii="Century Gothic" w:hAnsi="Century Gothic"/>
          <w:b/>
          <w:sz w:val="18"/>
          <w:szCs w:val="18"/>
          <w:lang w:val="es-ES_tradnl"/>
        </w:rPr>
        <w:t xml:space="preserve">PLAZO LÍMITE PARA LA PRESENTACIÓN DE LAS PROPUESTAS: </w:t>
      </w:r>
    </w:p>
    <w:p>
      <w:pPr>
        <w:pStyle w:val="Normal"/>
        <w:jc w:val="both"/>
        <w:rPr>
          <w:rFonts w:ascii="Century Gothic" w:hAnsi="Century Gothic"/>
          <w:sz w:val="10"/>
          <w:szCs w:val="10"/>
        </w:rPr>
      </w:pPr>
      <w:r>
        <w:rPr>
          <w:rFonts w:ascii="Century Gothic" w:hAnsi="Century Gothic"/>
          <w:sz w:val="10"/>
          <w:szCs w:val="10"/>
        </w:rPr>
      </w:r>
    </w:p>
    <w:tbl>
      <w:tblPr>
        <w:tblW w:w="9645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 w:noHBand="0" w:noVBand="1" w:firstColumn="1" w:lastRow="0" w:lastColumn="0" w:firstRow="1"/>
      </w:tblPr>
      <w:tblGrid>
        <w:gridCol w:w="6374"/>
        <w:gridCol w:w="1853"/>
        <w:gridCol w:w="1418"/>
      </w:tblGrid>
      <w:tr>
        <w:trPr>
          <w:trHeight w:val="209" w:hRule="atLeast"/>
        </w:trPr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entury Gothic" w:hAnsi="Century Gothic" w:cs="Calibri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 w:ascii="Century Gothic" w:hAnsi="Century Gothic"/>
                <w:b/>
                <w:bCs/>
                <w:color w:val="000000"/>
                <w:sz w:val="18"/>
                <w:szCs w:val="18"/>
              </w:rPr>
              <w:t>DETALLE</w:t>
            </w:r>
          </w:p>
        </w:tc>
        <w:tc>
          <w:tcPr>
            <w:tcW w:w="18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entury Gothic" w:hAnsi="Century Gothic" w:cs="Calibri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 w:ascii="Century Gothic" w:hAnsi="Century Gothic"/>
                <w:b/>
                <w:bCs/>
                <w:color w:val="000000"/>
                <w:sz w:val="18"/>
                <w:szCs w:val="18"/>
              </w:rPr>
              <w:t>FECHA LÍMITE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entury Gothic" w:hAnsi="Century Gothic" w:cs="Calibri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 w:ascii="Century Gothic" w:hAnsi="Century Gothic"/>
                <w:b/>
                <w:bCs/>
                <w:color w:val="000000"/>
                <w:sz w:val="18"/>
                <w:szCs w:val="18"/>
              </w:rPr>
              <w:t>HORA LÍMITE</w:t>
            </w:r>
          </w:p>
        </w:tc>
      </w:tr>
      <w:tr>
        <w:trPr>
          <w:trHeight w:val="337" w:hRule="atLeast"/>
        </w:trPr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bookmarkStart w:id="2" w:name="_Hlk190338396"/>
            <w:r>
              <w:rPr>
                <w:rFonts w:cs="Calibri" w:ascii="Century Gothic" w:hAnsi="Century Gothic"/>
                <w:color w:val="000000"/>
                <w:sz w:val="16"/>
                <w:szCs w:val="16"/>
                <w:lang w:val="es-ES_tradnl"/>
              </w:rPr>
              <w:t>ADQUISICIÓN DE KITS Y CILINDROS PARA GNV</w:t>
            </w:r>
          </w:p>
        </w:tc>
        <w:tc>
          <w:tcPr>
            <w:tcW w:w="18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>
              <w:rPr>
                <w:rFonts w:cs="Calibri" w:ascii="Century Gothic" w:hAnsi="Century Gothic"/>
                <w:color w:val="000000"/>
                <w:sz w:val="18"/>
                <w:szCs w:val="18"/>
              </w:rPr>
              <w:t>27/05/2026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bookmarkStart w:id="3" w:name="_Hlk190338396"/>
            <w:r>
              <w:rPr>
                <w:rFonts w:cs="Calibri" w:ascii="Century Gothic" w:hAnsi="Century Gothic"/>
                <w:color w:val="000000"/>
                <w:sz w:val="18"/>
                <w:szCs w:val="18"/>
              </w:rPr>
              <w:t>16:30</w:t>
            </w:r>
            <w:bookmarkEnd w:id="3"/>
          </w:p>
        </w:tc>
      </w:tr>
    </w:tbl>
    <w:p>
      <w:pPr>
        <w:pStyle w:val="Normal"/>
        <w:ind w:left="720" w:hanging="0"/>
        <w:jc w:val="both"/>
        <w:rPr>
          <w:rFonts w:ascii="Century Gothic" w:hAnsi="Century Gothic"/>
          <w:sz w:val="18"/>
          <w:szCs w:val="18"/>
          <w:lang w:val="es-ES_tradnl"/>
        </w:rPr>
      </w:pPr>
      <w:r>
        <w:rPr>
          <w:rFonts w:ascii="Century Gothic" w:hAnsi="Century Gothic"/>
          <w:sz w:val="18"/>
          <w:szCs w:val="18"/>
          <w:lang w:val="es-ES_tradnl"/>
        </w:rPr>
      </w:r>
    </w:p>
    <w:p>
      <w:pPr>
        <w:pStyle w:val="Normal"/>
        <w:numPr>
          <w:ilvl w:val="0"/>
          <w:numId w:val="1"/>
        </w:numPr>
        <w:jc w:val="both"/>
        <w:rPr>
          <w:rFonts w:ascii="Century Gothic" w:hAnsi="Century Gothic"/>
          <w:sz w:val="18"/>
          <w:szCs w:val="18"/>
          <w:lang w:val="es-ES_tradnl"/>
        </w:rPr>
      </w:pPr>
      <w:r>
        <w:rPr>
          <w:rFonts w:ascii="Century Gothic" w:hAnsi="Century Gothic"/>
          <w:b/>
          <w:sz w:val="18"/>
          <w:szCs w:val="18"/>
          <w:lang w:val="es-ES_tradnl"/>
        </w:rPr>
        <w:t xml:space="preserve">INSTRUCCIONES GENERALES: </w:t>
      </w:r>
      <w:r>
        <w:rPr>
          <w:rFonts w:ascii="Century Gothic" w:hAnsi="Century Gothic"/>
          <w:sz w:val="18"/>
          <w:szCs w:val="18"/>
          <w:lang w:val="es-ES_tradnl"/>
        </w:rPr>
        <w:t>Los proponentes interesados deberán presentar documentos y propuesta técnica según lo establecido en el Documento Base de Contratación Directa de Bienes.</w:t>
      </w:r>
    </w:p>
    <w:p>
      <w:pPr>
        <w:pStyle w:val="Normal"/>
        <w:ind w:left="720" w:hanging="0"/>
        <w:jc w:val="both"/>
        <w:rPr>
          <w:rFonts w:ascii="Century Gothic" w:hAnsi="Century Gothic"/>
          <w:sz w:val="18"/>
          <w:szCs w:val="18"/>
          <w:lang w:val="es-ES_tradnl"/>
        </w:rPr>
      </w:pPr>
      <w:r>
        <w:rPr>
          <w:rFonts w:ascii="Century Gothic" w:hAnsi="Century Gothic"/>
          <w:sz w:val="18"/>
          <w:szCs w:val="18"/>
          <w:lang w:val="es-ES_tradnl"/>
        </w:rPr>
      </w:r>
    </w:p>
    <w:p>
      <w:pPr>
        <w:pStyle w:val="Normal"/>
        <w:ind w:left="720" w:hanging="0"/>
        <w:jc w:val="both"/>
        <w:rPr>
          <w:rFonts w:ascii="Century Gothic" w:hAnsi="Century Gothic"/>
          <w:sz w:val="18"/>
          <w:szCs w:val="18"/>
          <w:lang w:val="es-ES_tradnl"/>
        </w:rPr>
      </w:pPr>
      <w:r>
        <w:rPr>
          <w:rFonts w:ascii="Century Gothic" w:hAnsi="Century Gothic"/>
          <w:sz w:val="18"/>
          <w:szCs w:val="18"/>
          <w:lang w:val="es-ES_tradnl"/>
        </w:rPr>
        <w:t xml:space="preserve">El Documento Base de Contratación Directa de Bienes estará disponible a partir del lunes 25 de mayo de 2026 </w:t>
      </w:r>
      <w:r>
        <w:rPr>
          <w:rFonts w:ascii="Century Gothic" w:hAnsi="Century Gothic"/>
          <w:sz w:val="18"/>
          <w:szCs w:val="18"/>
        </w:rPr>
        <w:t>en</w:t>
      </w:r>
      <w:r>
        <w:rPr>
          <w:rFonts w:ascii="Century Gothic" w:hAnsi="Century Gothic"/>
          <w:sz w:val="18"/>
          <w:szCs w:val="18"/>
          <w:lang w:val="es-ES_tradnl"/>
        </w:rPr>
        <w:t xml:space="preserve"> las oficinas de la EEC-GNV ubicadas en la Calle Campos N.º 233 entre Av. Arce y 6 de Agosto, piso 4º, así también podrá ser descargado de las siguientes páginas web: </w:t>
      </w:r>
      <w:hyperlink r:id="rId3">
        <w:r>
          <w:rPr>
            <w:rStyle w:val="EnlacedeInternet"/>
            <w:rFonts w:ascii="Century Gothic" w:hAnsi="Century Gothic"/>
            <w:color w:val="auto"/>
            <w:sz w:val="18"/>
            <w:szCs w:val="18"/>
            <w:u w:val="none"/>
            <w:lang w:val="es-ES_tradnl"/>
          </w:rPr>
          <w:t>https://www.eecgnv.gob.bo</w:t>
        </w:r>
      </w:hyperlink>
      <w:r>
        <w:rPr>
          <w:rFonts w:ascii="Century Gothic" w:hAnsi="Century Gothic"/>
          <w:sz w:val="18"/>
          <w:szCs w:val="18"/>
          <w:lang w:val="es-ES_tradnl"/>
        </w:rPr>
        <w:t xml:space="preserve"> y </w:t>
      </w:r>
      <w:hyperlink r:id="rId4">
        <w:r>
          <w:rPr>
            <w:rFonts w:ascii="Century Gothic" w:hAnsi="Century Gothic"/>
            <w:sz w:val="18"/>
            <w:szCs w:val="18"/>
            <w:lang w:val="es-ES_tradnl"/>
          </w:rPr>
          <w:t>https://www.mhe.gob.bo</w:t>
        </w:r>
      </w:hyperlink>
      <w:r>
        <w:rPr>
          <w:rStyle w:val="EnlacedeInternet"/>
          <w:rFonts w:ascii="Century Gothic" w:hAnsi="Century Gothic"/>
          <w:color w:val="auto"/>
          <w:sz w:val="18"/>
          <w:szCs w:val="18"/>
          <w:u w:val="none"/>
          <w:lang w:val="es-ES_tradnl"/>
        </w:rPr>
        <w:t xml:space="preserve"> </w:t>
      </w:r>
      <w:r>
        <w:rPr>
          <w:rFonts w:ascii="Century Gothic" w:hAnsi="Century Gothic"/>
          <w:sz w:val="14"/>
          <w:szCs w:val="14"/>
        </w:rPr>
        <w:t xml:space="preserve"> </w:t>
      </w:r>
    </w:p>
    <w:p>
      <w:pPr>
        <w:pStyle w:val="Normal"/>
        <w:jc w:val="both"/>
        <w:rPr>
          <w:rFonts w:ascii="Century Gothic" w:hAnsi="Century Gothic"/>
          <w:sz w:val="18"/>
          <w:szCs w:val="18"/>
          <w:lang w:val="es-ES_tradnl"/>
        </w:rPr>
      </w:pPr>
      <w:r>
        <w:rPr>
          <w:rFonts w:ascii="Century Gothic" w:hAnsi="Century Gothic"/>
          <w:sz w:val="18"/>
          <w:szCs w:val="18"/>
          <w:lang w:val="es-ES_tradnl"/>
        </w:rPr>
      </w:r>
    </w:p>
    <w:p>
      <w:pPr>
        <w:pStyle w:val="Normal"/>
        <w:numPr>
          <w:ilvl w:val="0"/>
          <w:numId w:val="1"/>
        </w:numPr>
        <w:jc w:val="both"/>
        <w:rPr>
          <w:rFonts w:ascii="Century Gothic" w:hAnsi="Century Gothic"/>
          <w:sz w:val="18"/>
          <w:szCs w:val="18"/>
          <w:lang w:val="es-ES_tradnl"/>
        </w:rPr>
      </w:pPr>
      <w:r>
        <w:rPr>
          <w:rFonts w:ascii="Century Gothic" w:hAnsi="Century Gothic"/>
          <w:b/>
          <w:sz w:val="18"/>
          <w:szCs w:val="18"/>
          <w:lang w:val="es-ES_tradnl"/>
        </w:rPr>
        <w:t xml:space="preserve">LUGAR DE PRESENTACIÓN: </w:t>
      </w:r>
      <w:r>
        <w:rPr>
          <w:rFonts w:ascii="Century Gothic" w:hAnsi="Century Gothic"/>
          <w:sz w:val="18"/>
          <w:szCs w:val="18"/>
          <w:lang w:val="es-ES_tradnl"/>
        </w:rPr>
        <w:t>Los interesados deberán presentar sus Propuestas en sobre cerrado en oficina central de la EEC-GNV ubicada en la Calle Campos Nº 233 entre Av. Arce y 6 de Agosto, zona San Jorge, La Paz – Bolivia.</w:t>
      </w:r>
    </w:p>
    <w:p>
      <w:pPr>
        <w:pStyle w:val="ListParagraph"/>
        <w:rPr>
          <w:rFonts w:ascii="Century Gothic" w:hAnsi="Century Gothic"/>
          <w:sz w:val="18"/>
          <w:szCs w:val="18"/>
          <w:lang w:val="es-ES_tradnl"/>
        </w:rPr>
      </w:pPr>
      <w:r>
        <w:rPr>
          <w:rFonts w:ascii="Century Gothic" w:hAnsi="Century Gothic"/>
          <w:sz w:val="18"/>
          <w:szCs w:val="18"/>
          <w:lang w:val="es-ES_tradnl"/>
        </w:rPr>
      </w:r>
    </w:p>
    <w:p>
      <w:pPr>
        <w:pStyle w:val="Normal"/>
        <w:numPr>
          <w:ilvl w:val="0"/>
          <w:numId w:val="1"/>
        </w:numPr>
        <w:jc w:val="both"/>
        <w:rPr>
          <w:rFonts w:ascii="Century Gothic" w:hAnsi="Century Gothic"/>
          <w:sz w:val="18"/>
          <w:szCs w:val="18"/>
          <w:lang w:val="es-ES_tradnl"/>
        </w:rPr>
      </w:pPr>
      <w:r>
        <w:rPr>
          <w:rFonts w:ascii="Century Gothic" w:hAnsi="Century Gothic"/>
          <w:b/>
          <w:sz w:val="18"/>
          <w:szCs w:val="18"/>
          <w:lang w:val="es-ES_tradnl"/>
        </w:rPr>
        <w:t>CONSULTAS</w:t>
      </w:r>
      <w:r>
        <w:rPr>
          <w:rFonts w:ascii="Century Gothic" w:hAnsi="Century Gothic"/>
          <w:sz w:val="18"/>
          <w:szCs w:val="18"/>
          <w:lang w:val="es-ES_tradnl"/>
        </w:rPr>
        <w:t xml:space="preserve">: Los interesados podrán realizar consultas a los correos: </w:t>
      </w:r>
      <w:hyperlink r:id="rId5">
        <w:r>
          <w:rPr>
            <w:rStyle w:val="EnlacedeInternet"/>
            <w:rFonts w:cs="Helvetica" w:ascii="Century Gothic" w:hAnsi="Century Gothic"/>
            <w:color w:val="auto"/>
            <w:sz w:val="18"/>
            <w:szCs w:val="18"/>
          </w:rPr>
          <w:t>lvelarde@eecgnv.gob.bo</w:t>
        </w:r>
      </w:hyperlink>
      <w:r>
        <w:rPr>
          <w:rFonts w:ascii="Century Gothic" w:hAnsi="Century Gothic"/>
          <w:sz w:val="18"/>
          <w:szCs w:val="18"/>
          <w:lang w:val="es-ES_tradnl"/>
        </w:rPr>
        <w:t xml:space="preserve"> y </w:t>
      </w:r>
      <w:hyperlink r:id="rId6">
        <w:r>
          <w:rPr>
            <w:rStyle w:val="EnlacedeInternet"/>
            <w:rFonts w:ascii="Century Gothic" w:hAnsi="Century Gothic"/>
            <w:color w:val="auto"/>
            <w:sz w:val="18"/>
            <w:szCs w:val="18"/>
            <w:lang w:val="es-ES_tradnl"/>
          </w:rPr>
          <w:t>jhflores@eecgnv.gob.bo</w:t>
        </w:r>
      </w:hyperlink>
      <w:r>
        <w:rPr/>
        <w:t>.</w:t>
      </w:r>
    </w:p>
    <w:p>
      <w:pPr>
        <w:pStyle w:val="ListParagrap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</w:r>
    </w:p>
    <w:p>
      <w:pPr>
        <w:pStyle w:val="Normal"/>
        <w:ind w:left="720" w:hanging="0"/>
        <w:jc w:val="center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</w:r>
    </w:p>
    <w:p>
      <w:pPr>
        <w:pStyle w:val="Normal"/>
        <w:ind w:left="720" w:hanging="0"/>
        <w:jc w:val="center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La Paz, mayo de 2026</w:t>
      </w:r>
    </w:p>
    <w:sectPr>
      <w:type w:val="nextPage"/>
      <w:pgSz w:w="12240" w:h="15840"/>
      <w:pgMar w:left="709" w:right="618" w:gutter="0" w:header="0" w:top="709" w:footer="0" w:bottom="3403"/>
      <w:pgBorders w:display="allPages" w:offsetFrom="text">
        <w:top w:val="threeDEngrave" w:sz="24" w:space="1" w:color="000000"/>
        <w:left w:val="threeDEngrave" w:sz="24" w:space="4" w:color="000000"/>
        <w:bottom w:val="threeDEmboss" w:sz="24" w:space="1" w:color="000000"/>
        <w:right w:val="threeDEmboss" w:sz="24" w:space="4" w:color="000000"/>
      </w:pgBorders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Arial Narrow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alibri">
    <w:charset w:val="01"/>
    <w:family w:val="roman"/>
    <w:pitch w:val="variable"/>
  </w:font>
  <w:font w:name="Century Gothic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18"/>
        <w:b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30"/>
  <w:embedSystemFonts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s-ES" w:eastAsia="es-ES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d350a0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s-ES" w:eastAsia="es-ES" w:bidi="ar-SA"/>
    </w:rPr>
  </w:style>
  <w:style w:type="paragraph" w:styleId="Ttulo2">
    <w:name w:val="Heading 2"/>
    <w:basedOn w:val="Normal"/>
    <w:next w:val="Normal"/>
    <w:qFormat/>
    <w:rsid w:val="0083022e"/>
    <w:pPr>
      <w:keepNext w:val="true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4">
    <w:name w:val="Heading 4"/>
    <w:basedOn w:val="Normal"/>
    <w:next w:val="Normal"/>
    <w:qFormat/>
    <w:rsid w:val="009d0dd2"/>
    <w:pPr>
      <w:keepNext w:val="true"/>
      <w:tabs>
        <w:tab w:val="clear" w:pos="708"/>
        <w:tab w:val="left" w:pos="540" w:leader="none"/>
        <w:tab w:val="left" w:pos="1080" w:leader="none"/>
        <w:tab w:val="left" w:pos="3960" w:leader="none"/>
        <w:tab w:val="left" w:pos="4680" w:leader="none"/>
        <w:tab w:val="left" w:pos="5040" w:leader="none"/>
        <w:tab w:val="left" w:pos="5400" w:leader="none"/>
      </w:tabs>
      <w:jc w:val="both"/>
      <w:outlineLvl w:val="3"/>
    </w:pPr>
    <w:rPr>
      <w:rFonts w:ascii="Arial Narrow" w:hAnsi="Arial Narrow"/>
      <w:b/>
      <w:sz w:val="22"/>
    </w:rPr>
  </w:style>
  <w:style w:type="paragraph" w:styleId="Ttulo6">
    <w:name w:val="Heading 6"/>
    <w:basedOn w:val="Normal"/>
    <w:next w:val="Normal"/>
    <w:qFormat/>
    <w:rsid w:val="009d0dd2"/>
    <w:pPr>
      <w:keepNext w:val="true"/>
      <w:jc w:val="center"/>
      <w:outlineLvl w:val="5"/>
    </w:pPr>
    <w:rPr>
      <w:rFonts w:ascii="Tahoma" w:hAnsi="Tahoma"/>
      <w:b/>
      <w:color w:val="FFFFFF"/>
      <w:sz w:val="18"/>
    </w:rPr>
  </w:style>
  <w:style w:type="paragraph" w:styleId="Ttulo7">
    <w:name w:val="Heading 7"/>
    <w:basedOn w:val="Normal"/>
    <w:next w:val="Normal"/>
    <w:qFormat/>
    <w:rsid w:val="009d0dd2"/>
    <w:pPr>
      <w:keepNext w:val="true"/>
      <w:jc w:val="center"/>
      <w:outlineLvl w:val="6"/>
    </w:pPr>
    <w:rPr>
      <w:rFonts w:ascii="Tahoma" w:hAnsi="Tahoma"/>
      <w:b/>
      <w:color w:val="FFFFFF"/>
      <w:sz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lacedeInternet">
    <w:name w:val="Enlace de Internet"/>
    <w:basedOn w:val="DefaultParagraphFont"/>
    <w:rsid w:val="000b1c0b"/>
    <w:rPr>
      <w:color w:val="0000FF"/>
      <w:u w:val="single"/>
    </w:rPr>
  </w:style>
  <w:style w:type="character" w:styleId="EnlacedeInternetvisitado">
    <w:name w:val="Enlace de Internet visitado"/>
    <w:basedOn w:val="DefaultParagraphFont"/>
    <w:rsid w:val="00c40c9c"/>
    <w:rPr>
      <w:color w:val="800080"/>
      <w:u w:val="single"/>
    </w:rPr>
  </w:style>
  <w:style w:type="character" w:styleId="TextodegloboCar" w:customStyle="1">
    <w:name w:val="Texto de globo Car"/>
    <w:basedOn w:val="DefaultParagraphFont"/>
    <w:link w:val="BalloonText"/>
    <w:qFormat/>
    <w:rsid w:val="003327a6"/>
    <w:rPr>
      <w:rFonts w:ascii="Tahoma" w:hAnsi="Tahoma" w:cs="Tahoma"/>
      <w:sz w:val="16"/>
      <w:szCs w:val="16"/>
    </w:rPr>
  </w:style>
  <w:style w:type="character" w:styleId="EncabezadoCar" w:customStyle="1">
    <w:name w:val="Encabezado Car"/>
    <w:basedOn w:val="DefaultParagraphFont"/>
    <w:qFormat/>
    <w:rsid w:val="00771267"/>
    <w:rPr>
      <w:sz w:val="24"/>
      <w:szCs w:val="24"/>
    </w:rPr>
  </w:style>
  <w:style w:type="character" w:styleId="PiedepginaCar" w:customStyle="1">
    <w:name w:val="Pie de página Car"/>
    <w:basedOn w:val="DefaultParagraphFont"/>
    <w:qFormat/>
    <w:rsid w:val="00771267"/>
    <w:rPr>
      <w:sz w:val="24"/>
      <w:szCs w:val="24"/>
    </w:rPr>
  </w:style>
  <w:style w:type="character" w:styleId="Mencinsinresolver1" w:customStyle="1">
    <w:name w:val="Mención sin resolver1"/>
    <w:basedOn w:val="DefaultParagraphFont"/>
    <w:uiPriority w:val="99"/>
    <w:semiHidden/>
    <w:unhideWhenUsed/>
    <w:qFormat/>
    <w:rsid w:val="00e94a1b"/>
    <w:rPr>
      <w:color w:val="605E5C"/>
      <w:shd w:fill="E1DFDD" w:val="clear"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ue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uerpodetexto"/>
    <w:pPr/>
    <w:rPr>
      <w:rFonts w:cs="Lohit Devanagari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Subttulo">
    <w:name w:val="Subtitle"/>
    <w:basedOn w:val="Normal"/>
    <w:qFormat/>
    <w:rsid w:val="00943a4c"/>
    <w:pPr>
      <w:jc w:val="center"/>
    </w:pPr>
    <w:rPr>
      <w:u w:val="single"/>
      <w:lang w:val="es-BO"/>
    </w:rPr>
  </w:style>
  <w:style w:type="paragraph" w:styleId="CharCharCar" w:customStyle="1">
    <w:name w:val="Char Char Car"/>
    <w:basedOn w:val="Normal"/>
    <w:qFormat/>
    <w:rsid w:val="00323ad1"/>
    <w:pPr>
      <w:widowControl w:val="false"/>
      <w:jc w:val="center"/>
    </w:pPr>
    <w:rPr>
      <w:rFonts w:ascii="Tahoma" w:hAnsi="Tahoma" w:eastAsia="SimSun" w:cs="Tahoma"/>
      <w:kern w:val="2"/>
      <w:lang w:val="en-US" w:eastAsia="zh-CN"/>
    </w:rPr>
  </w:style>
  <w:style w:type="paragraph" w:styleId="BalloonText">
    <w:name w:val="Balloon Text"/>
    <w:basedOn w:val="Normal"/>
    <w:link w:val="TextodegloboCar"/>
    <w:qFormat/>
    <w:rsid w:val="003327a6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40a0d"/>
    <w:pPr>
      <w:ind w:left="708" w:hanging="0"/>
    </w:pPr>
    <w:rPr/>
  </w:style>
  <w:style w:type="paragraph" w:styleId="NoSpacing">
    <w:name w:val="No Spacing"/>
    <w:uiPriority w:val="1"/>
    <w:qFormat/>
    <w:rsid w:val="00576277"/>
    <w:pPr>
      <w:widowControl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es-ES" w:bidi="ar-SA"/>
    </w:rPr>
  </w:style>
  <w:style w:type="paragraph" w:styleId="Cabeceraypie">
    <w:name w:val="Cabecera y pie"/>
    <w:basedOn w:val="Normal"/>
    <w:qFormat/>
    <w:pPr/>
    <w:rPr/>
  </w:style>
  <w:style w:type="paragraph" w:styleId="Cabecera">
    <w:name w:val="Header"/>
    <w:basedOn w:val="Normal"/>
    <w:link w:val="EncabezadoCar"/>
    <w:rsid w:val="00771267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Piedepgina">
    <w:name w:val="Footer"/>
    <w:basedOn w:val="Normal"/>
    <w:link w:val="PiedepginaCar"/>
    <w:rsid w:val="00771267"/>
    <w:pPr>
      <w:tabs>
        <w:tab w:val="clear" w:pos="708"/>
        <w:tab w:val="center" w:pos="4252" w:leader="none"/>
        <w:tab w:val="right" w:pos="8504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rsid w:val="00bf717d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www.eecgnv.gob.bo/" TargetMode="External"/><Relationship Id="rId4" Type="http://schemas.openxmlformats.org/officeDocument/2006/relationships/hyperlink" Target="https://www.hidrocarburos.gob.bo/" TargetMode="External"/><Relationship Id="rId5" Type="http://schemas.openxmlformats.org/officeDocument/2006/relationships/hyperlink" Target="mailto:lvelarde@eecgnv.gob.bo" TargetMode="External"/><Relationship Id="rId6" Type="http://schemas.openxmlformats.org/officeDocument/2006/relationships/hyperlink" Target="mailto:jhflores@eecgnv.gob.bo" TargetMode="Externa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F799DF-A091-48FD-9AA0-AED17BCBF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Application>LibreOffice/7.3.7.2$Linux_X86_64 LibreOffice_project/30$Build-2</Application>
  <AppVersion>15.0000</AppVersion>
  <Pages>1</Pages>
  <Words>312</Words>
  <Characters>1755</Characters>
  <CharactersWithSpaces>2052</CharactersWithSpaces>
  <Paragraphs>21</Paragraphs>
  <Company>inra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2025-11-26T20:03:00Z</dcterms:created>
  <dc:creator>bzamora</dc:creator>
  <dc:description/>
  <dc:language>es-BO</dc:language>
  <cp:lastModifiedBy/>
  <cp:lastPrinted>2025-11-26T18:03:00Z</cp:lastPrinted>
  <dcterms:modified xsi:type="dcterms:W3CDTF">2026-05-25T17:48:28Z</dcterms:modified>
  <cp:revision>12</cp:revision>
  <dc:subject/>
  <dc:title>La Paz, 04 de febrero de 2004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